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10/04/2024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Ternium: seis veces Campeones de la Sustentabilidad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sexta ocasión, la empresa recibe el reconocimiento de parte de worldsteel gracias a su compromiso con el desarrollo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Ternium fue una de las 10 empresas reconocidas este año con el galardón de Campeón de la Sustentabilidad (Sustainability Champion) debido a su trabajo durante el 2023. Este reconocimiento se otorga a los miembros de la Asociación Mundial del Acero –worldsteel en inglés– que demuestran de forma clara su compromiso y acciones para el desarrollo sostenible.</w:t>
            </w:r>
          </w:p>
          <w:p>
            <w:pPr>
              <w:ind w:left="-284" w:right="-427"/>
              <w:jc w:val="both"/>
              <w:rPr>
                <w:rFonts/>
                <w:color w:val="262626" w:themeColor="text1" w:themeTint="D9"/>
              </w:rPr>
            </w:pPr>
            <w:r>
              <w:t>En esta ocasión, Máximo Vedoya recibió el reconocimiento por parte del Comité de Dirección en un evento realizado en Londres, Inglaterra. Para ser merecedores del premio, las empresas deben proporcionar datos sobre el Inventario del Ciclo de Vida (LCI) de al menos el 60% de la producción del acero crudo de los últimos cinco años. Asimismo, requieren alcanzar el shortlist en una de las seis categorías de los Steelie Awards o haber sido premiados en el worldsteel Safety and Health Recognition.</w:t>
            </w:r>
          </w:p>
          <w:p>
            <w:pPr>
              <w:ind w:left="-284" w:right="-427"/>
              <w:jc w:val="both"/>
              <w:rPr>
                <w:rFonts/>
                <w:color w:val="262626" w:themeColor="text1" w:themeTint="D9"/>
              </w:rPr>
            </w:pPr>
            <w:r>
              <w:t>La empresa continúa trabajando para lograr los objetivos de la Ruta de Descarbonización, que contempla disminuir la intensidad de las emisiones para el 2030. Las inversiones como el Parque Eólico en Olavarría, Argentina, y la nueva acería de Pesquería, México –que se proyecta como la sustentable y moderna de toda América Latina– son parte de las acciones que se realizan para alcanzar esta meta.</w:t>
            </w:r>
          </w:p>
          <w:p>
            <w:pPr>
              <w:ind w:left="-284" w:right="-427"/>
              <w:jc w:val="both"/>
              <w:rPr>
                <w:rFonts/>
                <w:color w:val="262626" w:themeColor="text1" w:themeTint="D9"/>
              </w:rPr>
            </w:pPr>
            <w:r>
              <w:t>Estas fueron las empresas reconocidas como Campeón de la Sustentabilidad 2024:</w:t>
            </w:r>
          </w:p>
          <w:p>
            <w:pPr>
              <w:ind w:left="-284" w:right="-427"/>
              <w:jc w:val="both"/>
              <w:rPr>
                <w:rFonts/>
                <w:color w:val="262626" w:themeColor="text1" w:themeTint="D9"/>
              </w:rPr>
            </w:pPr>
            <w:r>
              <w:t>Ternium</w:t>
            </w:r>
          </w:p>
          <w:p>
            <w:pPr>
              <w:ind w:left="-284" w:right="-427"/>
              <w:jc w:val="both"/>
              <w:rPr>
                <w:rFonts/>
                <w:color w:val="262626" w:themeColor="text1" w:themeTint="D9"/>
              </w:rPr>
            </w:pPr>
            <w:r>
              <w:t>Tenaris</w:t>
            </w:r>
          </w:p>
          <w:p>
            <w:pPr>
              <w:ind w:left="-284" w:right="-427"/>
              <w:jc w:val="both"/>
              <w:rPr>
                <w:rFonts/>
                <w:color w:val="262626" w:themeColor="text1" w:themeTint="D9"/>
              </w:rPr>
            </w:pPr>
            <w:r>
              <w:t>ArcelorMittal</w:t>
            </w:r>
          </w:p>
          <w:p>
            <w:pPr>
              <w:ind w:left="-284" w:right="-427"/>
              <w:jc w:val="both"/>
              <w:rPr>
                <w:rFonts/>
                <w:color w:val="262626" w:themeColor="text1" w:themeTint="D9"/>
              </w:rPr>
            </w:pPr>
            <w:r>
              <w:t>BlueScope Steel Limited</w:t>
            </w:r>
          </w:p>
          <w:p>
            <w:pPr>
              <w:ind w:left="-284" w:right="-427"/>
              <w:jc w:val="both"/>
              <w:rPr>
                <w:rFonts/>
                <w:color w:val="262626" w:themeColor="text1" w:themeTint="D9"/>
              </w:rPr>
            </w:pPr>
            <w:r>
              <w:t>China Steel Corporation (CSC)</w:t>
            </w:r>
          </w:p>
          <w:p>
            <w:pPr>
              <w:ind w:left="-284" w:right="-427"/>
              <w:jc w:val="both"/>
              <w:rPr>
                <w:rFonts/>
                <w:color w:val="262626" w:themeColor="text1" w:themeTint="D9"/>
              </w:rPr>
            </w:pPr>
            <w:r>
              <w:t>HBIS Group Co., Ltd.</w:t>
            </w:r>
          </w:p>
          <w:p>
            <w:pPr>
              <w:ind w:left="-284" w:right="-427"/>
              <w:jc w:val="both"/>
              <w:rPr>
                <w:rFonts/>
                <w:color w:val="262626" w:themeColor="text1" w:themeTint="D9"/>
              </w:rPr>
            </w:pPr>
            <w:r>
              <w:t>JFE Steel Corporation</w:t>
            </w:r>
          </w:p>
          <w:p>
            <w:pPr>
              <w:ind w:left="-284" w:right="-427"/>
              <w:jc w:val="both"/>
              <w:rPr>
                <w:rFonts/>
                <w:color w:val="262626" w:themeColor="text1" w:themeTint="D9"/>
              </w:rPr>
            </w:pPr>
            <w:r>
              <w:t>JSW Steel Limited</w:t>
            </w:r>
          </w:p>
          <w:p>
            <w:pPr>
              <w:ind w:left="-284" w:right="-427"/>
              <w:jc w:val="both"/>
              <w:rPr>
                <w:rFonts/>
                <w:color w:val="262626" w:themeColor="text1" w:themeTint="D9"/>
              </w:rPr>
            </w:pPr>
            <w:r>
              <w:t>POSCO Holdings</w:t>
            </w:r>
          </w:p>
          <w:p>
            <w:pPr>
              <w:ind w:left="-284" w:right="-427"/>
              <w:jc w:val="both"/>
              <w:rPr>
                <w:rFonts/>
                <w:color w:val="262626" w:themeColor="text1" w:themeTint="D9"/>
              </w:rPr>
            </w:pPr>
            <w:r>
              <w:t>Tata Steel</w:t>
            </w:r>
          </w:p>
          <w:p>
            <w:pPr>
              <w:ind w:left="-284" w:right="-427"/>
              <w:jc w:val="both"/>
              <w:rPr>
                <w:rFonts/>
                <w:color w:val="262626" w:themeColor="text1" w:themeTint="D9"/>
              </w:rPr>
            </w:pPr>
            <w:r>
              <w:t>voestalpine AG</w:t>
            </w:r>
          </w:p>
          <w:p>
            <w:pPr>
              <w:ind w:left="-284" w:right="-427"/>
              <w:jc w:val="both"/>
              <w:rPr>
                <w:rFonts/>
                <w:color w:val="262626" w:themeColor="text1" w:themeTint="D9"/>
              </w:rPr>
            </w:pPr>
            <w:r>
              <w:t>Acerca de Ternium en México   Ternium en México es una empresa siderúrgica altamente integrada en su cadena de valor. Sus actividades abarcan desde la extracción de mineral de hierro en sus propias minas y la fabricación de acero, hasta la elaboración de productos terminados de alto valor agregado y su distribución. Con más de 9 mil empleados, Ternium desarrolla actividades industriales en todo el territorio mexicano. Cuenta con minas de hierro en Jalisco y Michoacán; 10 plantas siderúrgicas en Nuevo León, Puebla, Colima y Coahuila; así como 5 centros de servicio y 11 centros de distribución en las principales ciudades de México. www.ternium.com.mx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Saraí Almazán                                                           </w:t>
      </w:r>
    </w:p>
    <w:p w:rsidR="00C31F72" w:rsidRDefault="00C31F72" w:rsidP="00AB63FE">
      <w:pPr>
        <w:pStyle w:val="Sinespaciado"/>
        <w:spacing w:line="276" w:lineRule="auto"/>
        <w:ind w:left="-284"/>
        <w:rPr>
          <w:rFonts w:ascii="Arial" w:hAnsi="Arial" w:cs="Arial"/>
        </w:rPr>
      </w:pPr>
      <w:r>
        <w:rPr>
          <w:rFonts w:ascii="Arial" w:hAnsi="Arial" w:cs="Arial"/>
        </w:rPr>
        <w:t>Oca Reputación</w:t>
      </w:r>
    </w:p>
    <w:p w:rsidR="00AB63FE" w:rsidRDefault="00C31F72" w:rsidP="00AB63FE">
      <w:pPr>
        <w:pStyle w:val="Sinespaciado"/>
        <w:spacing w:line="276" w:lineRule="auto"/>
        <w:ind w:left="-284"/>
        <w:rPr>
          <w:rFonts w:ascii="Arial" w:hAnsi="Arial" w:cs="Arial"/>
        </w:rPr>
      </w:pPr>
      <w:r>
        <w:rPr>
          <w:rFonts w:ascii="Arial" w:hAnsi="Arial" w:cs="Arial"/>
        </w:rPr>
        <w:t>55 2887 1503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https://www.mexicopress.com.mx/ternium-seis-veces-campeones-de-la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Sostenibilidad Premios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