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17/08/2021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NICE tiene un crecimiento de los ingresos totales en el segundo trimestre de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resultado está vinculado a la combinación de un sólido crecimiento de la nube y un crecimiento de los ingresos de la nube a más del 50% del total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NICE (NASDAQ: NICE) www.nice.com anunció los resultados del segundo trimestre que finalizó el 30 de junio de 2021.</w:t>
            </w:r>
          </w:p>
          <w:p>
            <w:pPr>
              <w:ind w:left="-284" w:right="-427"/>
              <w:jc w:val="both"/>
              <w:rPr>
                <w:rFonts/>
                <w:color w:val="262626" w:themeColor="text1" w:themeTint="D9"/>
              </w:rPr>
            </w:pPr>
            <w:r>
              <w:t>Datos financieros destacados del segundo trimestre de 2021:</w:t>
            </w:r>
          </w:p>
          <w:p>
            <w:pPr>
              <w:ind w:left="-284" w:right="-427"/>
              <w:jc w:val="both"/>
              <w:rPr>
                <w:rFonts/>
                <w:color w:val="262626" w:themeColor="text1" w:themeTint="D9"/>
              </w:rPr>
            </w:pPr>
            <w:r>
              <w:t>GAAPNON-GAAPIngresos de $ 456 millones, crecimiento del 16% año tras añoIngresos de $ 459 millones, crecimiento del 16% año tras añoIngresos en la nube de $ 243 millones, 32% de crecimiento interanualIngresos en la nube de $ 246 millones, 32% de crecimiento interanualMargen bruto del 67% frente al 65,5% del año pasadoMargen bruto del 72,2% frente al 71% del año pasadoBeneficio operativo de $ 64 millones en comparación con $ 56 millones el año pasado, un crecimiento interanual del 14%Beneficio operativo de $ 129,6 millones en comparación con $ 111,4 millones el año pasado, un aumento del 16%Margen operativo del 14% frente al 14,3% del año pasadoMargen operativo del 28,2% respecto al año pasadoEPS de $ 0,67 frente a $ 0,68 el año pasado, un 1% menosEPS de $ 1.57 contra $ 1.37 el año pasado, un aumento del 15%El flujo de caja operativo aumentó un 37% año tras año a $ 81,4 millones</w:t>
            </w:r>
          </w:p>
          <w:p>
            <w:pPr>
              <w:ind w:left="-284" w:right="-427"/>
              <w:jc w:val="both"/>
              <w:rPr>
                <w:rFonts/>
                <w:color w:val="262626" w:themeColor="text1" w:themeTint="D9"/>
              </w:rPr>
            </w:pPr>
            <w:r>
              <w:t>NICE está muy satisfechos con el crecimiento acelerado de los ingresos netos del 16% en el segundo trimestre, que es el resultado de la combinación de un sólido crecimiento de la nube y el crecimiento de los ingresos de la nube a más del 50% de los ingresos totales, dijo Barak Eilam, director ejecutivo de NICE. Los sólidos resultados financieros del segundo trimestre en todas las métricas clave están impulsados ​​por una ejecución sólida en la nube, digital e IA, así como el éxito continuo de CXone en las grandes empresas y el rápido crecimiento en los mercados internacionales.</w:t>
            </w:r>
          </w:p>
          <w:p>
            <w:pPr>
              <w:ind w:left="-284" w:right="-427"/>
              <w:jc w:val="both"/>
              <w:rPr>
                <w:rFonts/>
                <w:color w:val="262626" w:themeColor="text1" w:themeTint="D9"/>
              </w:rPr>
            </w:pPr>
            <w:r>
              <w:t>Barak Eilam también mencionó que si bien la nube continúa acelerándose, la expansión a CX totalmente digital representa una oportunidad adicional significativa para NICE. Con las inversiones que se han realizado en CX digital de forma orgánica y mediante adquisiciones durante los últimos 18 meses, se ha convertido CXone en una plataforma CX digital completa con un conjunto único de soluciones que ahora puede cubrir todo el recorrido del cliente en todos los puntos de contacto en todo el mundo. La transformación digital aún se encuentra en sus primeras etapas y, como líderes del mercado, se cree que se logrará el mismo éxito notable en digital que se ha logrado en la nube.</w:t>
            </w:r>
          </w:p>
          <w:p>
            <w:pPr>
              <w:ind w:left="-284" w:right="-427"/>
              <w:jc w:val="both"/>
              <w:rPr>
                <w:rFonts/>
                <w:color w:val="262626" w:themeColor="text1" w:themeTint="D9"/>
              </w:rPr>
            </w:pPr>
            <w:r>
              <w:t>Aspectos financieros destacados de GAAP para el segundo trimestre que finalizado el 30 de junioIngresos: Los ingresos totales aumentaron un 16% a $456 millones en comparación con $393.2 millones en el mismo período en 2020.</w:t>
            </w:r>
          </w:p>
          <w:p>
            <w:pPr>
              <w:ind w:left="-284" w:right="-427"/>
              <w:jc w:val="both"/>
              <w:rPr>
                <w:rFonts/>
                <w:color w:val="262626" w:themeColor="text1" w:themeTint="D9"/>
              </w:rPr>
            </w:pPr>
            <w:r>
              <w:t>Utilidad bruta: La utilidad y el margen bruto aumentaron a $305,5 millones y 67%, respectivamente, en comparación con $257,4 millones y 65,5%, respectivamente, en el segundo trimestre de 2020.</w:t>
            </w:r>
          </w:p>
          <w:p>
            <w:pPr>
              <w:ind w:left="-284" w:right="-427"/>
              <w:jc w:val="both"/>
              <w:rPr>
                <w:rFonts/>
                <w:color w:val="262626" w:themeColor="text1" w:themeTint="D9"/>
              </w:rPr>
            </w:pPr>
            <w:r>
              <w:t>Utilidad operativa: La utilidad operativa aumentó 14% a $64 millones en comparación con $56,1 millones en el mismo período en 2020. El margen operativo disminuyó a 14% en comparación con 14,3% para el segundo trimestre de 2020.</w:t>
            </w:r>
          </w:p>
          <w:p>
            <w:pPr>
              <w:ind w:left="-284" w:right="-427"/>
              <w:jc w:val="both"/>
              <w:rPr>
                <w:rFonts/>
                <w:color w:val="262626" w:themeColor="text1" w:themeTint="D9"/>
              </w:rPr>
            </w:pPr>
            <w:r>
              <w:t>Ingresos netos: Los ingresos totalizaron $44,4 millones en comparación con $44,6 en el segundo trimestre de 2020. El margen de utilidad neta disminuyó a 9,7% en comparación con 11,3% en el segundo trimestre de 2020.</w:t>
            </w:r>
          </w:p>
          <w:p>
            <w:pPr>
              <w:ind w:left="-284" w:right="-427"/>
              <w:jc w:val="both"/>
              <w:rPr>
                <w:rFonts/>
                <w:color w:val="262626" w:themeColor="text1" w:themeTint="D9"/>
              </w:rPr>
            </w:pPr>
            <w:r>
              <w:t>Ganancias por acción totalmente diluidas: las ganancias por acción totalmente diluidas disminuyeron a $0,67 en comparación con $0,68 en el segundo trimestre de 2020.</w:t>
            </w:r>
          </w:p>
          <w:p>
            <w:pPr>
              <w:ind w:left="-284" w:right="-427"/>
              <w:jc w:val="both"/>
              <w:rPr>
                <w:rFonts/>
                <w:color w:val="262626" w:themeColor="text1" w:themeTint="D9"/>
              </w:rPr>
            </w:pPr>
            <w:r>
              <w:t>Flujo de caja operativo y saldo de caja: El flujo de caja operativo fue de $81,4 millones. En el segundo trimestre, se utilizaron $340,000 para recomprar acciones. Al 30 de junio de 2021, el efectivo total y equivalentes de efectivo, las inversiones a corto y largo plazo fueron de $1,407.7 millones y la deuda total fue de $613.1 millones.</w:t>
            </w:r>
          </w:p>
          <w:p>
            <w:pPr>
              <w:ind w:left="-284" w:right="-427"/>
              <w:jc w:val="both"/>
              <w:rPr>
                <w:rFonts/>
                <w:color w:val="262626" w:themeColor="text1" w:themeTint="D9"/>
              </w:rPr>
            </w:pPr>
            <w:r>
              <w:t>Aspectos financieros destacados no GAAP para el segundo trimestre que finalizó el 30 de junioIngresos: Los ingresos aumentaron un 16% a $458,9 millones en comparación con $395,1 millones en el segundo trimestre de 2020.</w:t>
            </w:r>
          </w:p>
          <w:p>
            <w:pPr>
              <w:ind w:left="-284" w:right="-427"/>
              <w:jc w:val="both"/>
              <w:rPr>
                <w:rFonts/>
                <w:color w:val="262626" w:themeColor="text1" w:themeTint="D9"/>
              </w:rPr>
            </w:pPr>
            <w:r>
              <w:t>Ganancia bruta: la ganancia y el margen brutos no GAAP aumentaron a $331,5 millones y 72,2%, respectivamente, en comparación con $280,5 millones y 71%, respectivamente, en el segundo trimestre de 2020.</w:t>
            </w:r>
          </w:p>
          <w:p>
            <w:pPr>
              <w:ind w:left="-284" w:right="-427"/>
              <w:jc w:val="both"/>
              <w:rPr>
                <w:rFonts/>
                <w:color w:val="262626" w:themeColor="text1" w:themeTint="D9"/>
              </w:rPr>
            </w:pPr>
            <w:r>
              <w:t>Ingresos operativos: Los ingresos operativos no GAAP aumentaron un 16,4% a $129,6 millones en comparación con $111,4 millones en el segundo trimestre de 2020. El margen operativo no GAAP fue del 28,2% en comparación con el 28,2% del año pasado.</w:t>
            </w:r>
          </w:p>
          <w:p>
            <w:pPr>
              <w:ind w:left="-284" w:right="-427"/>
              <w:jc w:val="both"/>
              <w:rPr>
                <w:rFonts/>
                <w:color w:val="262626" w:themeColor="text1" w:themeTint="D9"/>
              </w:rPr>
            </w:pPr>
            <w:r>
              <w:t>Ingresos netos: Los ingresos netos no GAAP crecieron un 16% a $104,3 millones de $89,9 millones en el segundo trimestre de 2020. El margen de ingresos netos no GAAP fue del 22,7% en comparación con el 22,7% del año pasado.</w:t>
            </w:r>
          </w:p>
          <w:p>
            <w:pPr>
              <w:ind w:left="-284" w:right="-427"/>
              <w:jc w:val="both"/>
              <w:rPr>
                <w:rFonts/>
                <w:color w:val="262626" w:themeColor="text1" w:themeTint="D9"/>
              </w:rPr>
            </w:pPr>
            <w:r>
              <w:t>Ganancias por acción totalmente diluidas: Las ganancias por acción no GAAP totalmente diluidas para el segundo trimestre de 2021 aumentaron un 14,6% a $1,57, en comparación con $1,37 para el segundo trimestre de 2020.</w:t>
            </w:r>
          </w:p>
          <w:p>
            <w:pPr>
              <w:ind w:left="-284" w:right="-427"/>
              <w:jc w:val="both"/>
              <w:rPr>
                <w:rFonts/>
                <w:color w:val="262626" w:themeColor="text1" w:themeTint="D9"/>
              </w:rPr>
            </w:pPr>
            <w:r>
              <w:t>Orientación para el tercer trimestre y el año completo 2021:</w:t>
            </w:r>
          </w:p>
          <w:p>
            <w:pPr>
              <w:ind w:left="-284" w:right="-427"/>
              <w:jc w:val="both"/>
              <w:rPr>
                <w:rFonts/>
                <w:color w:val="262626" w:themeColor="text1" w:themeTint="D9"/>
              </w:rPr>
            </w:pPr>
            <w:r>
              <w:t>Tercer trimestre de 2021Se espera que los ingresos totales no GAAP para el tercer trimestre de 2021 estén en el rango de $460 millones a $470 millones.</w:t>
            </w:r>
          </w:p>
          <w:p>
            <w:pPr>
              <w:ind w:left="-284" w:right="-427"/>
              <w:jc w:val="both"/>
              <w:rPr>
                <w:rFonts/>
                <w:color w:val="262626" w:themeColor="text1" w:themeTint="D9"/>
              </w:rPr>
            </w:pPr>
            <w:r>
              <w:t>Se espera que las ganancias por acción no GAAP totalmente diluidas del tercer trimestre de 2021 estén en el rango de $1,51 a $1,61.</w:t>
            </w:r>
          </w:p>
          <w:p>
            <w:pPr>
              <w:ind w:left="-284" w:right="-427"/>
              <w:jc w:val="both"/>
              <w:rPr>
                <w:rFonts/>
                <w:color w:val="262626" w:themeColor="text1" w:themeTint="D9"/>
              </w:rPr>
            </w:pPr>
            <w:r>
              <w:t>Orientación para el año 2021 de aumentoSe espera que los ingresos totales no GAAP para todo el año 2021 estén en el rango de $1.835 millones a $1.855 millones (por encima del rango de orientación anterior de $1.800 millones a $ 1.820 millones).</w:t>
            </w:r>
          </w:p>
          <w:p>
            <w:pPr>
              <w:ind w:left="-284" w:right="-427"/>
              <w:jc w:val="both"/>
              <w:rPr>
                <w:rFonts/>
                <w:color w:val="262626" w:themeColor="text1" w:themeTint="D9"/>
              </w:rPr>
            </w:pPr>
            <w:r>
              <w:t>Se espera que las ganancias por acción totalmente diluidas no GAAP para todo el año 2021 estén en el rango de $6.26 a $6.46 (por encima del rango de orientación anterior de $6.19 a $US 6.39).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NICE Systems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https://www.mexicopress.com.mx/nice-tiene-un-crecimiento-de-los-ingresos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Telecomunicaciones Comunicación Marketing Programación Software Dispositivos móviles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