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Barcelona el 17/05/2018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Copisa Constructora Pirenaica certificada por AENOR con el estándar antisoborno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Grupo Copisa y sus filiales Copisa Constructora Pirenaica y CPI Copisa Industrial han obtenido la certificación ISO 37001 de gestión antisoborno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Copisa y sus filiales Copisa Constructora Pirenaica y CPI Copisa Industrial han obtenido de AENOR la certificación ISO 37001 en materia antisoborno, convirtiéndose de esta manera en uno de los primeros grupos constructores en conseguir este reconocimiento.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AENOR, empresa líder en certificación de sistemas de gestión, acredita con este distintivo que Grupo Copisa y sus filiales han implementado las mejores prácticas en materia antisoborno, contribuyendo a crear una cultura de integridad y ética empresarial. El certificado Antisoborno acredita que las organizaciones han implantado un Sistema de Gestión Antisoborno que cumple con los requisitos de la Norma ISO 37001, ayuda a las organizaciones a prevenir, detectar y gestionar adecuadamente posibles conductas delictivas de soborno, cumpliendo con la legislación y otros compromisos adquiridos de forma voluntaria.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certificación conforme a la Norma ISO 37001 es de carácter voluntario y revisable anualmente, proporcionando unas estrictas directrices de actuación para detectar conductas no adecuadas y reducir muy significativamente el riesgo de su comisión. Asimismo, constatan la existencia de una cultura de integridad, transparencia y honestidad en todas las actividades de la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se dota del más alto estándar en materia antisobornoCon esta certificación se reconoce el compromiso del Grupo Copisa con la transparencia y las mejores prácticas empresariales. El Consejo de Administración de la compañía nombró en 2016 un Comité de Compliance en el marco de un nuevo Programa de Gestión, Prevención y Detección de Riesgos Penales Corporativos aprobando, en junio de 2017 la solicitud a AENOR, de la puesta en marcha del proceso de obtención de la certificación.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obtención se alcanza un hito que marca la cultura empresarial puesta en marcha por la actual dirección de Grupo Copisa consolidando su total compromiso con la transparencia y los estándares nacionales e internacionales de Buena Gobernanza. De esta forma, no solo se implica en ello a todas las personas que componen el Grupo, sino que también involucra a todos aquellos agentes que se relacionen con la organización, ya sean clientes, proveedores y demás grupos de interés.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Áreas de crecimientoCentrada en la ejecución de obras de infraestructuras de obra civil, edificación, proyectos industriales y mantenimientos, Grupo Copisa ha logrado con el acuerdo marco de refinanciación de la compañía, la consolidación definitiva de su actividad principalmente en España, Europa, Centroamérica, Sudamérica y África. A cierre de 2017, Grupo Copisa contaba con una cartera de obras pendiente de ejecución por valor aproximado de 600 millones de euros y una plantilla de 1.300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Jordi Sacristán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https://www.mexicopress.com.mx/copisa-constructora-pirenaica-certificada-por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Finanzas Recursos humanos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