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Conafor destina 2.3 mdp para aprovechamiento forestal en Edomex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cuatro beneficiarios son un ejido, dos bienes comunales y un particular</w:t>
            </w:r>
          </w:p>
          <w:p>
            <w:pPr>
              <w:ind w:left="-284" w:right="-427"/>
              <w:jc w:val="both"/>
              <w:rPr>
                <w:rFonts/>
                <w:color w:val="262626" w:themeColor="text1" w:themeTint="D9"/>
              </w:rPr>
            </w:pPr>
            <w:r>
              <w:t>Estado de México.— Este año la Comisión Nacional Forestal (Conafor) del Estado de México destinó 2.3 millones de pesos para apoyar a cuatro beneficiarios en la compra de equipo y maquinaria.</w:t>
            </w:r>
          </w:p>
          <w:p>
            <w:pPr>
              <w:ind w:left="-284" w:right="-427"/>
              <w:jc w:val="both"/>
              <w:rPr>
                <w:rFonts/>
                <w:color w:val="262626" w:themeColor="text1" w:themeTint="D9"/>
              </w:rPr>
            </w:pPr>
            <w:r>
              <w:t>De esta manera, se facilita las actividades de aprovechamiento y extracción de recursos forestales.</w:t>
            </w:r>
          </w:p>
          <w:p>
            <w:pPr>
              <w:ind w:left="-284" w:right="-427"/>
              <w:jc w:val="both"/>
              <w:rPr>
                <w:rFonts/>
                <w:color w:val="262626" w:themeColor="text1" w:themeTint="D9"/>
              </w:rPr>
            </w:pPr>
            <w:r>
              <w:t>Los cuatro beneficiarios son un ejido, dos bienes comunales y un particular, quienes pertenecen a los municipios de Jilotzingo, Otzoloapan, Temascaltepec y Villa del Carbón.</w:t>
            </w:r>
          </w:p>
          <w:p>
            <w:pPr>
              <w:ind w:left="-284" w:right="-427"/>
              <w:jc w:val="both"/>
              <w:rPr>
                <w:rFonts/>
                <w:color w:val="262626" w:themeColor="text1" w:themeTint="D9"/>
              </w:rPr>
            </w:pPr>
            <w:r>
              <w:t>El monto asignado a cada beneficiario quedó repartido de la siguiente manera: 770 mil pesos para Jilotzingo, 455 mil pesos para Otzoloapan, 343 mil pesos en Temascaltepec y 800 mil pesos en Villa del Carbón.</w:t>
            </w:r>
          </w:p>
          <w:p>
            <w:pPr>
              <w:ind w:left="-284" w:right="-427"/>
              <w:jc w:val="both"/>
              <w:rPr>
                <w:rFonts/>
                <w:color w:val="262626" w:themeColor="text1" w:themeTint="D9"/>
              </w:rPr>
            </w:pPr>
            <w:r>
              <w:t>Este apoyo se puede utilizar para la compra de maquinaria que ayude en las labores de aprovechamiento como motogrúas, camiones de transporte, motoconformadoras o retroexcavadoras.</w:t>
            </w:r>
          </w:p>
          <w:p>
            <w:pPr>
              <w:ind w:left="-284" w:right="-427"/>
              <w:jc w:val="both"/>
              <w:rPr>
                <w:rFonts/>
                <w:color w:val="262626" w:themeColor="text1" w:themeTint="D9"/>
              </w:rPr>
            </w:pPr>
            <w:r>
              <w:t>El monto para este año fue similar al de 2015, cuando se entregaron 2.8 millones de pesos. La asignación de recursos para compra de maquinaria se da con base en las solicitudes y necesidades de cada beneficiario.</w:t>
            </w:r>
          </w:p>
          <w:p>
            <w:pPr>
              <w:ind w:left="-284" w:right="-427"/>
              <w:jc w:val="both"/>
              <w:rPr>
                <w:rFonts/>
                <w:color w:val="262626" w:themeColor="text1" w:themeTint="D9"/>
              </w:rPr>
            </w:pPr>
            <w:r>
              <w:t>Fuente: Conafor</w:t>
            </w:r>
          </w:p>
          <w:p>
            <w:pPr>
              <w:ind w:left="-284" w:right="-427"/>
              <w:jc w:val="both"/>
              <w:rPr>
                <w:rFonts/>
                <w:color w:val="262626" w:themeColor="text1" w:themeTint="D9"/>
              </w:rPr>
            </w:pPr>
            <w:r>
              <w:t>Etiquetas      Agua basura Biodiversidad bosques Cambio climático conservación contaminación emisiones Energía Especies medio ambiente México ONU Palabras relacionadas: reciclaje Residuos Semarnat sustentabilidad Transporte UNAM     </w:t>
            </w:r>
          </w:p>
          <w:p>
            <w:pPr>
              <w:ind w:left="-284" w:right="-427"/>
              <w:jc w:val="both"/>
              <w:rPr>
                <w:rFonts/>
                <w:color w:val="262626" w:themeColor="text1" w:themeTint="D9"/>
              </w:rPr>
            </w:pPr>
            <w:r>
              <w:t>La entrada Conafor destina 2.3 mdp para aprovechamiento forestal en Edomex aparece primero en Teorema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https://www.mexicopress.com.mx/conafor-destina-2-3-mdp-para-aprovechamiento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